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211"/>
      </w:tblGrid>
      <w:tr w:rsidR="00E35131" w:rsidRPr="00933810" w:rsidTr="00B1491C">
        <w:tc>
          <w:tcPr>
            <w:tcW w:w="4258" w:type="dxa"/>
          </w:tcPr>
          <w:p w:rsidR="008250A4" w:rsidRDefault="00A6251B" w:rsidP="00062D61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A6251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AAF1F33" wp14:editId="3B4CC8C9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-65405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Ханты-Мансийского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автономного округа – Югры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8250A4" w:rsidRPr="003330F0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</w:pPr>
            <w:r w:rsidRPr="003330F0"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  <w:t>Комитет по финансам</w:t>
            </w:r>
          </w:p>
          <w:p w:rsidR="008250A4" w:rsidRPr="003330F0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</w:pPr>
            <w:r w:rsidRPr="003330F0"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  <w:t>администрации</w:t>
            </w:r>
          </w:p>
          <w:p w:rsidR="008250A4" w:rsidRPr="003330F0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</w:pPr>
            <w:r w:rsidRPr="003330F0"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  <w:t>Ханты-Мансийского района</w:t>
            </w:r>
          </w:p>
          <w:p w:rsidR="008250A4" w:rsidRPr="003330F0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</w:pPr>
            <w:r w:rsidRPr="003330F0"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  <w:t>(Комитет по финансам АХМР)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628002, г. Ханты-Мансийск,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ул. Гагарина, 214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Тел. 35-27-73, т/ф. 35-27-74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E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-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mail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:</w:t>
            </w:r>
            <w:proofErr w:type="spellStart"/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komitet</w:t>
            </w:r>
            <w:proofErr w:type="spellEnd"/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@</w:t>
            </w:r>
            <w:proofErr w:type="spellStart"/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proofErr w:type="spellEnd"/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proofErr w:type="spellStart"/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http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://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www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proofErr w:type="spellStart"/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proofErr w:type="spellEnd"/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proofErr w:type="spellStart"/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  <w:p w:rsidR="00E35131" w:rsidRPr="003330F0" w:rsidRDefault="00E35131" w:rsidP="00493879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5211" w:type="dxa"/>
          </w:tcPr>
          <w:p w:rsidR="0062437F" w:rsidRPr="0062437F" w:rsidRDefault="0062437F" w:rsidP="0062437F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37F">
              <w:rPr>
                <w:rFonts w:ascii="Times New Roman" w:hAnsi="Times New Roman" w:cs="Times New Roman"/>
                <w:sz w:val="28"/>
                <w:szCs w:val="28"/>
              </w:rPr>
              <w:t>Главным распорядителям</w:t>
            </w:r>
          </w:p>
          <w:p w:rsidR="0062437F" w:rsidRPr="0062437F" w:rsidRDefault="0062437F" w:rsidP="0062437F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37F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  <w:p w:rsidR="0062437F" w:rsidRPr="0062437F" w:rsidRDefault="0062437F" w:rsidP="0062437F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37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6D05DB" w:rsidRPr="006D05DB" w:rsidRDefault="0062437F" w:rsidP="006243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37F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  <w:p w:rsidR="006D05DB" w:rsidRPr="00681141" w:rsidRDefault="006D05DB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B1491C">
        <w:tc>
          <w:tcPr>
            <w:tcW w:w="4258" w:type="dxa"/>
          </w:tcPr>
          <w:p w:rsidR="00E35131" w:rsidRPr="00903CF1" w:rsidRDefault="00E35131" w:rsidP="00F254D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Default="00E35131" w:rsidP="00F254D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3330F0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330F0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3330F0" w:rsidRPr="003330F0" w:rsidRDefault="003330F0" w:rsidP="00F254D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:rsidR="00E35131" w:rsidRPr="00617B14" w:rsidRDefault="00E35131" w:rsidP="009628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35131" w:rsidRPr="003330F0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629" w:rsidRPr="00CF2629" w:rsidRDefault="00CF2629" w:rsidP="00CF26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629">
        <w:rPr>
          <w:rFonts w:ascii="Times New Roman" w:hAnsi="Times New Roman"/>
          <w:sz w:val="28"/>
          <w:szCs w:val="28"/>
        </w:rPr>
        <w:t>Уважаемые коллеги!</w:t>
      </w:r>
    </w:p>
    <w:p w:rsidR="00CF2629" w:rsidRPr="00CF2629" w:rsidRDefault="00CF2629" w:rsidP="00CF26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629" w:rsidRPr="008D6B49" w:rsidRDefault="00CF2629" w:rsidP="008D6B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F262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</w:t>
      </w:r>
      <w:r w:rsidRPr="003251E6">
        <w:rPr>
          <w:rFonts w:ascii="Times New Roman" w:hAnsi="Times New Roman"/>
          <w:sz w:val="28"/>
          <w:szCs w:val="28"/>
        </w:rPr>
        <w:t>14 Г</w:t>
      </w:r>
      <w:r w:rsidRPr="00CF2629">
        <w:rPr>
          <w:rFonts w:ascii="Times New Roman" w:hAnsi="Times New Roman"/>
          <w:color w:val="000000" w:themeColor="text1"/>
          <w:sz w:val="28"/>
          <w:szCs w:val="28"/>
        </w:rPr>
        <w:t>рафика подготовки и рассмотрения документов и материалов, разрабатываемых при составлении проекта решения о бюджете Ханты-Мансийского района, комитет по финансам администрации Ханты-Мансийского района для расчета и планирования бюджетных проектировок направляет Методические указания по порядку планирования бюджетных ассигнований бюджета района на 20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2629">
        <w:rPr>
          <w:rFonts w:ascii="Times New Roman" w:hAnsi="Times New Roman"/>
          <w:color w:val="000000" w:themeColor="text1"/>
          <w:sz w:val="28"/>
          <w:szCs w:val="28"/>
        </w:rPr>
        <w:t xml:space="preserve"> год         и </w:t>
      </w:r>
      <w:r w:rsidRPr="002F18FB">
        <w:rPr>
          <w:rFonts w:ascii="Times New Roman" w:hAnsi="Times New Roman"/>
          <w:color w:val="000000" w:themeColor="text1"/>
          <w:sz w:val="28"/>
          <w:szCs w:val="28"/>
        </w:rPr>
        <w:t>на плановый период 2021 и 2022 годов</w:t>
      </w:r>
      <w:r w:rsidR="008D6B49">
        <w:rPr>
          <w:rFonts w:ascii="Times New Roman" w:hAnsi="Times New Roman"/>
          <w:color w:val="000000" w:themeColor="text1"/>
          <w:sz w:val="28"/>
          <w:szCs w:val="28"/>
        </w:rPr>
        <w:t>, а также приказ комитета по финансам</w:t>
      </w:r>
      <w:proofErr w:type="gramEnd"/>
      <w:r w:rsidR="008D6B4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Ханты-Мансийского района </w:t>
      </w:r>
      <w:r w:rsidR="008D6B49" w:rsidRPr="008D6B49">
        <w:rPr>
          <w:rFonts w:ascii="Times New Roman" w:eastAsia="Calibri" w:hAnsi="Times New Roman" w:cs="Times New Roman"/>
          <w:sz w:val="28"/>
          <w:szCs w:val="28"/>
        </w:rPr>
        <w:t>от 15 августа 2018 года № 01-09/111 «</w:t>
      </w:r>
      <w:r w:rsidR="008D6B49" w:rsidRPr="008D6B4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8D6B49" w:rsidRPr="008D6B49">
        <w:rPr>
          <w:rFonts w:ascii="Times New Roman" w:hAnsi="Times New Roman" w:cs="Times New Roman"/>
          <w:bCs/>
          <w:sz w:val="28"/>
          <w:szCs w:val="28"/>
        </w:rPr>
        <w:t>порядка планирования бюджетных ассигнований бюджета района</w:t>
      </w:r>
      <w:proofErr w:type="gramEnd"/>
      <w:r w:rsidR="008D6B49" w:rsidRPr="008D6B49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и плановый период»</w:t>
      </w:r>
      <w:r w:rsidR="008D6B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2629" w:rsidRPr="002F18FB" w:rsidRDefault="00CF2629" w:rsidP="00CF26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FB">
        <w:rPr>
          <w:rFonts w:ascii="Times New Roman" w:hAnsi="Times New Roman" w:cs="Times New Roman"/>
          <w:color w:val="000000" w:themeColor="text1"/>
          <w:sz w:val="28"/>
          <w:szCs w:val="28"/>
        </w:rPr>
        <w:t>Просим обеспечить качественное и своевременное формирование бюджетных проектировок по курируемым направлениям деятельности.</w:t>
      </w:r>
    </w:p>
    <w:p w:rsidR="00CF2629" w:rsidRPr="002F18FB" w:rsidRDefault="00CF2629" w:rsidP="00CF26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2629" w:rsidRPr="002F18FB" w:rsidRDefault="00CF2629" w:rsidP="00CF2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на </w:t>
      </w:r>
      <w:r w:rsidR="008D6B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18FB" w:rsidRPr="002F18F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F1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экз.</w:t>
      </w:r>
    </w:p>
    <w:p w:rsidR="00062D61" w:rsidRPr="002F18FB" w:rsidRDefault="00062D61" w:rsidP="003330F0">
      <w:pPr>
        <w:pStyle w:val="a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51B" w:rsidRPr="003330F0" w:rsidRDefault="00A6251B" w:rsidP="003330F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C37AF" w:rsidRPr="003330F0" w:rsidRDefault="006C37AF" w:rsidP="003330F0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3330F0" w:rsidTr="00624276">
        <w:trPr>
          <w:trHeight w:val="1443"/>
        </w:trPr>
        <w:tc>
          <w:tcPr>
            <w:tcW w:w="3227" w:type="dxa"/>
          </w:tcPr>
          <w:bookmarkStart w:id="2" w:name="EdsBorder"/>
          <w:p w:rsidR="00F77BE1" w:rsidRDefault="00617B14" w:rsidP="0096287F">
            <w:pPr>
              <w:pStyle w:val="ac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4B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1027E82" wp14:editId="77BBF958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7620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35pt;margin-top:.6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 w:rsidR="009628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района по финансам, председатель комитета</w:t>
            </w:r>
            <w:r w:rsidR="00F77B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B30E4" w:rsidRPr="002E4BE3" w:rsidRDefault="00F77BE1" w:rsidP="0096287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 финансам</w:t>
            </w:r>
            <w:r w:rsidR="008250A4" w:rsidRPr="002E4B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tc>
          <w:tcPr>
            <w:tcW w:w="3901" w:type="dxa"/>
            <w:vAlign w:val="center"/>
          </w:tcPr>
          <w:p w:rsidR="000B30E4" w:rsidRPr="003330F0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3330F0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3330F0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3330F0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3330F0" w:rsidRDefault="000B30E4" w:rsidP="000B30E4">
            <w:pPr>
              <w:autoSpaceDE w:val="0"/>
              <w:autoSpaceDN w:val="0"/>
              <w:adjustRightInd w:val="0"/>
              <w:rPr>
                <w:b/>
                <w:color w:val="D9D9D9" w:themeColor="background1" w:themeShade="D9"/>
                <w:sz w:val="8"/>
                <w:szCs w:val="8"/>
              </w:rPr>
            </w:pPr>
          </w:p>
          <w:p w:rsidR="000B30E4" w:rsidRPr="003330F0" w:rsidRDefault="000B30E4" w:rsidP="000B30E4">
            <w:pPr>
              <w:autoSpaceDE w:val="0"/>
              <w:autoSpaceDN w:val="0"/>
              <w:adjustRightInd w:val="0"/>
              <w:rPr>
                <w:b/>
                <w:color w:val="D9D9D9" w:themeColor="background1" w:themeShade="D9"/>
                <w:sz w:val="18"/>
                <w:szCs w:val="18"/>
              </w:rPr>
            </w:pPr>
            <w:r w:rsidRPr="003330F0">
              <w:rPr>
                <w:b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3330F0" w:rsidRDefault="000B30E4" w:rsidP="000B30E4">
            <w:pPr>
              <w:autoSpaceDE w:val="0"/>
              <w:autoSpaceDN w:val="0"/>
              <w:adjustRightInd w:val="0"/>
              <w:rPr>
                <w:b/>
                <w:color w:val="D9D9D9" w:themeColor="background1" w:themeShade="D9"/>
                <w:sz w:val="18"/>
                <w:szCs w:val="18"/>
              </w:rPr>
            </w:pPr>
            <w:r w:rsidRPr="003330F0">
              <w:rPr>
                <w:b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3330F0" w:rsidRDefault="000B30E4" w:rsidP="00A6251B">
            <w:pPr>
              <w:pStyle w:val="ac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330F0">
              <w:rPr>
                <w:b/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 w:rsidRPr="003330F0">
              <w:rPr>
                <w:b/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3330F0">
              <w:rPr>
                <w:b/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3330F0">
              <w:rPr>
                <w:b/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3330F0">
              <w:rPr>
                <w:b/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3330F0">
              <w:rPr>
                <w:b/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3330F0">
              <w:rPr>
                <w:b/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52" w:type="dxa"/>
          </w:tcPr>
          <w:p w:rsidR="002E4BE3" w:rsidRPr="002E4BE3" w:rsidRDefault="002E4BE3" w:rsidP="002E4BE3">
            <w:pPr>
              <w:pStyle w:val="ac"/>
              <w:rPr>
                <w:sz w:val="28"/>
                <w:szCs w:val="28"/>
              </w:rPr>
            </w:pPr>
          </w:p>
          <w:p w:rsidR="0096287F" w:rsidRDefault="0096287F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BE1" w:rsidRDefault="00F77BE1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3330F0" w:rsidRDefault="00617B14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Р.И.Стадлер</w:t>
            </w:r>
          </w:p>
        </w:tc>
      </w:tr>
    </w:tbl>
    <w:p w:rsidR="00CF2629" w:rsidRPr="00B540A3" w:rsidRDefault="00CF2629" w:rsidP="008D53A2">
      <w:pPr>
        <w:keepNext/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4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CF2629" w:rsidRPr="00B540A3" w:rsidRDefault="00CF2629" w:rsidP="008D53A2">
      <w:pPr>
        <w:keepNext/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4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письму Комитета по финансам АХМР</w:t>
      </w:r>
    </w:p>
    <w:p w:rsidR="00CF2629" w:rsidRPr="00B540A3" w:rsidRDefault="00CF2629" w:rsidP="008D53A2">
      <w:pPr>
        <w:tabs>
          <w:tab w:val="left" w:pos="5670"/>
          <w:tab w:val="left" w:pos="623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40A3">
        <w:rPr>
          <w:rFonts w:ascii="Times New Roman" w:hAnsi="Times New Roman" w:cs="Times New Roman"/>
          <w:sz w:val="28"/>
          <w:szCs w:val="28"/>
        </w:rPr>
        <w:t xml:space="preserve">от </w:t>
      </w:r>
      <w:r w:rsidR="00B540A3">
        <w:rPr>
          <w:rFonts w:ascii="Times New Roman" w:hAnsi="Times New Roman" w:cs="Times New Roman"/>
          <w:sz w:val="28"/>
          <w:szCs w:val="28"/>
        </w:rPr>
        <w:t>05</w:t>
      </w:r>
      <w:r w:rsidRPr="00B540A3">
        <w:rPr>
          <w:rFonts w:ascii="Times New Roman" w:hAnsi="Times New Roman" w:cs="Times New Roman"/>
          <w:sz w:val="28"/>
          <w:szCs w:val="28"/>
        </w:rPr>
        <w:t>.0</w:t>
      </w:r>
      <w:r w:rsidR="00B540A3">
        <w:rPr>
          <w:rFonts w:ascii="Times New Roman" w:hAnsi="Times New Roman" w:cs="Times New Roman"/>
          <w:sz w:val="28"/>
          <w:szCs w:val="28"/>
        </w:rPr>
        <w:t>8</w:t>
      </w:r>
      <w:r w:rsidRPr="00B540A3">
        <w:rPr>
          <w:rFonts w:ascii="Times New Roman" w:hAnsi="Times New Roman" w:cs="Times New Roman"/>
          <w:sz w:val="28"/>
          <w:szCs w:val="28"/>
        </w:rPr>
        <w:t xml:space="preserve">.2019 № </w:t>
      </w:r>
      <w:r w:rsidR="0003018C" w:rsidRPr="0003018C">
        <w:rPr>
          <w:rFonts w:ascii="Times New Roman" w:hAnsi="Times New Roman" w:cs="Times New Roman"/>
          <w:sz w:val="28"/>
          <w:szCs w:val="28"/>
        </w:rPr>
        <w:t>05-Исх-</w:t>
      </w:r>
      <w:bookmarkStart w:id="4" w:name="_GoBack"/>
      <w:bookmarkEnd w:id="4"/>
      <w:r w:rsidRPr="00B540A3">
        <w:rPr>
          <w:rFonts w:ascii="Times New Roman" w:hAnsi="Times New Roman" w:cs="Times New Roman"/>
          <w:sz w:val="28"/>
          <w:szCs w:val="28"/>
        </w:rPr>
        <w:t>______</w:t>
      </w:r>
    </w:p>
    <w:p w:rsidR="00CF2629" w:rsidRPr="00B540A3" w:rsidRDefault="00CF2629" w:rsidP="008D53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629" w:rsidRPr="00CF2629" w:rsidRDefault="00CF2629" w:rsidP="008D53A2">
      <w:pPr>
        <w:keepNext/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F26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Методические указания</w:t>
      </w:r>
    </w:p>
    <w:p w:rsidR="00CF2629" w:rsidRPr="00CF2629" w:rsidRDefault="00CF2629" w:rsidP="008D53A2">
      <w:pPr>
        <w:keepNext/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F26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порядку планирования бюджетных ассигнований бюджета района</w:t>
      </w:r>
    </w:p>
    <w:p w:rsidR="00CF2629" w:rsidRPr="00CF2629" w:rsidRDefault="00CF2629" w:rsidP="008D53A2">
      <w:pPr>
        <w:keepNext/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F26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20</w:t>
      </w:r>
      <w:r w:rsidRPr="008D53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</w:t>
      </w:r>
      <w:r w:rsidRPr="00CF26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 и на плановый период 202</w:t>
      </w:r>
      <w:r w:rsidRPr="008D53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CF26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202</w:t>
      </w:r>
      <w:r w:rsidRPr="008D53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CF26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годов</w:t>
      </w:r>
    </w:p>
    <w:p w:rsidR="00CF2629" w:rsidRPr="00CF2629" w:rsidRDefault="00CF2629" w:rsidP="008D53A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629" w:rsidRPr="00CF2629" w:rsidRDefault="00CF2629" w:rsidP="008D53A2">
      <w:pPr>
        <w:spacing w:after="0"/>
        <w:ind w:right="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Методические указания подготовлены в соответствии     с Приказом </w:t>
      </w:r>
      <w:r w:rsidRPr="00CF2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комитета по финансам администрации Ханты-Мансийского района </w:t>
      </w:r>
      <w:r w:rsidRPr="00CF2629">
        <w:rPr>
          <w:rFonts w:ascii="Times New Roman" w:eastAsia="Calibri" w:hAnsi="Times New Roman" w:cs="Times New Roman"/>
          <w:color w:val="000000"/>
          <w:sz w:val="28"/>
          <w:szCs w:val="28"/>
        </w:rPr>
        <w:t>от 15 августа 2018 №01-09/111 «Об утверждении порядка планирования бюджетных ассигнований бюджета района на очередной финансовый год и плановый период»</w:t>
      </w:r>
      <w:r w:rsidRPr="00CF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соответствии с пунктом 14 Графика подготовки и рассмотрения документов и материалов, разрабатываемых при составлении проекта решения о бюджете Ханты-Мансийского района</w:t>
      </w:r>
      <w:r w:rsidRPr="008D5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очередной финансовый</w:t>
      </w:r>
      <w:proofErr w:type="gramEnd"/>
      <w:r w:rsidRPr="008D5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плановый период, </w:t>
      </w:r>
      <w:r w:rsidRPr="00CF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администрации Ханты-Мансийского района от 24.07.2018 № 211 «О порядке составления проекта решения       о бюджете Ханты-Мансийского района на очередной финансовый год       и плановый период».</w:t>
      </w:r>
    </w:p>
    <w:p w:rsidR="00CF2629" w:rsidRPr="004861EE" w:rsidRDefault="00CF2629" w:rsidP="008D53A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2629" w:rsidRPr="004861EE" w:rsidRDefault="00CF2629" w:rsidP="008D53A2">
      <w:pPr>
        <w:spacing w:after="0"/>
        <w:ind w:right="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6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требования и подходы к формированию и распределению бюджетных ассигнований бюджета района на 20</w:t>
      </w:r>
      <w:r w:rsidR="004861EE" w:rsidRPr="00486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86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4861EE" w:rsidRPr="00486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86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4861EE" w:rsidRPr="00486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86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</w:p>
    <w:p w:rsidR="00CF2629" w:rsidRPr="00D444A7" w:rsidRDefault="00CF2629" w:rsidP="008D53A2">
      <w:pPr>
        <w:spacing w:after="0"/>
        <w:ind w:right="54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CF2629" w:rsidRPr="00D444A7" w:rsidRDefault="00CF2629" w:rsidP="008D5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A7">
        <w:rPr>
          <w:rFonts w:ascii="Times New Roman" w:hAnsi="Times New Roman" w:cs="Times New Roman"/>
          <w:sz w:val="28"/>
          <w:szCs w:val="28"/>
        </w:rPr>
        <w:t>1. Основные параметры бюджета на 20</w:t>
      </w:r>
      <w:r w:rsidR="004861EE" w:rsidRPr="00D444A7">
        <w:rPr>
          <w:rFonts w:ascii="Times New Roman" w:hAnsi="Times New Roman" w:cs="Times New Roman"/>
          <w:sz w:val="28"/>
          <w:szCs w:val="28"/>
        </w:rPr>
        <w:t>20</w:t>
      </w:r>
      <w:r w:rsidRPr="00D444A7">
        <w:rPr>
          <w:rFonts w:ascii="Times New Roman" w:hAnsi="Times New Roman" w:cs="Times New Roman"/>
          <w:sz w:val="28"/>
          <w:szCs w:val="28"/>
        </w:rPr>
        <w:t>-202</w:t>
      </w:r>
      <w:r w:rsidR="004861EE" w:rsidRPr="00D444A7">
        <w:rPr>
          <w:rFonts w:ascii="Times New Roman" w:hAnsi="Times New Roman" w:cs="Times New Roman"/>
          <w:sz w:val="28"/>
          <w:szCs w:val="28"/>
        </w:rPr>
        <w:t>2</w:t>
      </w:r>
      <w:r w:rsidRPr="00D444A7">
        <w:rPr>
          <w:rFonts w:ascii="Times New Roman" w:hAnsi="Times New Roman" w:cs="Times New Roman"/>
          <w:sz w:val="28"/>
          <w:szCs w:val="28"/>
        </w:rPr>
        <w:t xml:space="preserve"> годы учитывают дальнейшую реализацию мер, направленных на обеспечение сбалансированности бюджета, сохранение ограничения по размеру дефицита бюджета и безопасного уровня долговой нагрузки.</w:t>
      </w:r>
    </w:p>
    <w:p w:rsidR="00CF2629" w:rsidRPr="00810501" w:rsidRDefault="00CF2629" w:rsidP="008D53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5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расходных обязательств бюджета                       Ханты-Мансийского района в проектировках на 2019 год и на плановый период 2020 и 2021 годов необходимо основывать на следующих подходах:</w:t>
      </w:r>
    </w:p>
    <w:p w:rsidR="00CF2629" w:rsidRPr="000946EB" w:rsidRDefault="00CF2629" w:rsidP="008D53A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качестве «базовых» по текущим расходам на 20</w:t>
      </w:r>
      <w:r w:rsidR="00810501"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202</w:t>
      </w:r>
      <w:r w:rsidR="00810501"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годы принимать бюджетные ассигнования, утвержденные решением Думы Ханты-Мансийского района от </w:t>
      </w:r>
      <w:r w:rsidR="00810501"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07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.12.201</w:t>
      </w:r>
      <w:r w:rsidR="00810501"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810501"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375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«О бюджете Ханты-Мансийского района на 201</w:t>
      </w:r>
      <w:r w:rsidR="00810501"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на 20</w:t>
      </w:r>
      <w:r w:rsidR="00810501"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810501"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годов»  (в редакции от </w:t>
      </w:r>
      <w:r w:rsidR="00810501"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810501"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810501"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810501"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478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без учёта </w:t>
      </w:r>
      <w:r w:rsid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федеральных и региональных </w:t>
      </w:r>
      <w:r w:rsid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средств, </w:t>
      </w:r>
      <w:r w:rsidRPr="008105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единовременных расходных обязательств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и обязательств, срок дей</w:t>
      </w:r>
      <w:r w:rsidR="00810501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ствия которых заканчивается 2019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годом;</w:t>
      </w:r>
      <w:proofErr w:type="gramEnd"/>
    </w:p>
    <w:p w:rsidR="00CF2629" w:rsidRPr="000946EB" w:rsidRDefault="00CF2629" w:rsidP="008D53A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бюджетные инвестиции на 20</w:t>
      </w:r>
      <w:r w:rsidR="000946EB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0946EB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годы предварительно уч</w:t>
      </w:r>
      <w:r w:rsid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итывать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объёмах бюджетных ассигнований, утверждённых                        на соответствующий период решением Думы Ханты-Мансийского района </w:t>
      </w:r>
      <w:r w:rsidR="000946EB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 07.12.2018 № 375 «О бюджете Ханты-Мансийского района на 2019 год и плановый период на 2020 и 2021 годов»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F2629" w:rsidRDefault="00CF2629" w:rsidP="000946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861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</w:t>
      </w:r>
      <w:r w:rsid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есть</w:t>
      </w:r>
      <w:r w:rsidRPr="004861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изменение базы для начисления страховых взносов в государственные внебюджетные фонды</w:t>
      </w:r>
      <w:r w:rsid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налог</w:t>
      </w:r>
      <w:r w:rsidR="004861EE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ооблагаемой базы по налогу 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имущество</w:t>
      </w:r>
      <w:r w:rsidR="004861EE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земельно</w:t>
      </w:r>
      <w:r w:rsidR="004861EE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налог</w:t>
      </w:r>
      <w:r w:rsidR="004861EE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46EB" w:rsidRPr="0048741B" w:rsidRDefault="000946EB" w:rsidP="000946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874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</w:t>
      </w:r>
      <w:r w:rsidR="0048741B" w:rsidRPr="004874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сохранение </w:t>
      </w:r>
      <w:r w:rsidRPr="004874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достигнутого</w:t>
      </w:r>
      <w:r w:rsidR="0048741B" w:rsidRPr="004874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2019 году целевого </w:t>
      </w:r>
      <w:proofErr w:type="gramStart"/>
      <w:r w:rsidR="0048741B" w:rsidRPr="004874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показателя повышения оплаты труда работников муниципальных учреждений</w:t>
      </w:r>
      <w:r w:rsidRPr="004874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41B" w:rsidRPr="004874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показателя</w:t>
      </w:r>
      <w:proofErr w:type="gramEnd"/>
      <w:r w:rsidR="0048741B" w:rsidRPr="004874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41B" w:rsidRPr="0048741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указами президента Российской Федерации от 2012 года;</w:t>
      </w:r>
    </w:p>
    <w:p w:rsidR="00CF2629" w:rsidRPr="000946EB" w:rsidRDefault="00CF2629" w:rsidP="008D53A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</w:t>
      </w:r>
      <w:r w:rsidR="000946EB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есть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ввод объектов в эксплуатацию;</w:t>
      </w:r>
    </w:p>
    <w:p w:rsidR="00CF2629" w:rsidRPr="000946EB" w:rsidRDefault="00CF2629" w:rsidP="008D53A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бюджетные проектировки по текущим расходам на 202</w:t>
      </w:r>
      <w:r w:rsidR="000946EB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формируются исходя из проектировок на 20</w:t>
      </w:r>
      <w:r w:rsidR="000946EB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0946EB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="000946EB"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за исключением бюджетных инвестиций</w:t>
      </w:r>
      <w:r w:rsidRPr="00094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2629" w:rsidRPr="0063694B" w:rsidRDefault="00CF2629" w:rsidP="0063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формировании проектировок бюджета Ханты-Мансийского района на 20</w:t>
      </w:r>
      <w:r w:rsidR="00D444A7"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6369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и на плановый период 20</w:t>
      </w:r>
      <w:r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D444A7"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6369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202</w:t>
      </w:r>
      <w:r w:rsidR="00D444A7"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6369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 в части расходов на финансовое обеспечение деятельности органов местного самоуправления Ханты-Мансийского района необходимо иметь в виду, </w:t>
      </w:r>
      <w:r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6369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что расчет предельных объёмов бюджетных ассигнований </w:t>
      </w:r>
      <w:r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</w:t>
      </w:r>
      <w:r w:rsidRPr="006369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функционирование органов местного самоуправления Ханты-Мансийского района производится в соответствии </w:t>
      </w:r>
      <w:r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</w:t>
      </w:r>
      <w:r w:rsidR="0063694B"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проектом </w:t>
      </w:r>
      <w:r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</w:t>
      </w:r>
      <w:r w:rsidR="0063694B"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Правительства Х</w:t>
      </w:r>
      <w:r w:rsidR="0063694B"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анты-Мансийского автономного округа </w:t>
      </w:r>
      <w:r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63694B"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>Югры «</w:t>
      </w:r>
      <w:r w:rsidR="0063694B" w:rsidRPr="0063694B">
        <w:rPr>
          <w:rFonts w:ascii="Times New Roman" w:hAnsi="Times New Roman" w:cs="Times New Roman"/>
          <w:sz w:val="28"/>
          <w:szCs w:val="28"/>
        </w:rPr>
        <w:t>О предельных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</w:t>
      </w:r>
      <w:r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>»,</w:t>
      </w:r>
      <w:r w:rsidR="0063694B"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размещённым в сети интернет по адресу: </w:t>
      </w:r>
      <w:hyperlink r:id="rId12" w:history="1">
        <w:r w:rsidR="0063694B" w:rsidRPr="0063694B">
          <w:rPr>
            <w:rStyle w:val="af"/>
            <w:rFonts w:ascii="Times New Roman" w:hAnsi="Times New Roman" w:cs="Times New Roman"/>
            <w:sz w:val="28"/>
            <w:szCs w:val="28"/>
          </w:rPr>
          <w:t>https://depfin.admhmao.ru/informatsiya-o-normotvorcheskoy-deyatelnosti/2791747/proekt-o-normativakh-na-platu-truda-v-organakh-mestnogo-samoupravleniya</w:t>
        </w:r>
      </w:hyperlink>
      <w:r w:rsidR="0063694B">
        <w:rPr>
          <w:rFonts w:ascii="Times New Roman" w:hAnsi="Times New Roman" w:cs="Times New Roman"/>
          <w:sz w:val="28"/>
          <w:szCs w:val="28"/>
        </w:rPr>
        <w:t>,</w:t>
      </w:r>
      <w:r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 также </w:t>
      </w:r>
      <w:r w:rsidRPr="006369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действующим законодательством Российской Федерации, Ханты-Мансийского автономного округа - Югры и нормативными правовыми актами муниципального образования исходя из штатного расписания, составленного в соответствии с утвержденной структурой и штатной численностью</w:t>
      </w:r>
      <w:r w:rsidRPr="0063694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92C6D" w:rsidRPr="002F18FB" w:rsidRDefault="00392C6D" w:rsidP="00F9395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18FB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Ф</w:t>
      </w:r>
      <w:r w:rsidR="00CD76E9" w:rsidRPr="002F18FB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ормирование</w:t>
      </w:r>
      <w:r w:rsidRPr="002F1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проектировок бюджета Ханты-Мансийского района на 20</w:t>
      </w:r>
      <w:r w:rsidRPr="002F18FB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2F1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и на плановый период 20</w:t>
      </w:r>
      <w:r w:rsidRPr="002F18FB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2F1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202</w:t>
      </w:r>
      <w:r w:rsidRPr="002F18F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F1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 в части расходов на</w:t>
      </w:r>
      <w:r w:rsidRPr="002F18FB">
        <w:rPr>
          <w:rFonts w:ascii="Times New Roman" w:hAnsi="Times New Roman" w:cs="Times New Roman"/>
          <w:sz w:val="28"/>
          <w:szCs w:val="28"/>
        </w:rPr>
        <w:t xml:space="preserve"> </w:t>
      </w:r>
      <w:r w:rsidRPr="002F18FB">
        <w:rPr>
          <w:rFonts w:ascii="Times New Roman" w:hAnsi="Times New Roman" w:cs="Times New Roman"/>
          <w:bCs/>
          <w:sz w:val="28"/>
          <w:szCs w:val="28"/>
        </w:rPr>
        <w:t xml:space="preserve">реконструкцию и капитальный ремонт муниципального имущества </w:t>
      </w:r>
      <w:r w:rsidRPr="002F18F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F9395A" w:rsidRPr="002F18FB">
        <w:rPr>
          <w:rFonts w:ascii="Times New Roman" w:hAnsi="Times New Roman" w:cs="Times New Roman"/>
          <w:sz w:val="28"/>
          <w:szCs w:val="28"/>
        </w:rPr>
        <w:t xml:space="preserve">осуществляется с учетом соблюдения </w:t>
      </w:r>
      <w:r w:rsidRPr="002F18FB">
        <w:rPr>
          <w:rFonts w:ascii="Times New Roman" w:hAnsi="Times New Roman" w:cs="Times New Roman"/>
          <w:bCs/>
          <w:sz w:val="28"/>
          <w:szCs w:val="28"/>
        </w:rPr>
        <w:t xml:space="preserve">Порядка организации проведения реконструкции и капитального ремонта муниципального имущества </w:t>
      </w:r>
      <w:r w:rsidRPr="002F18FB">
        <w:rPr>
          <w:rFonts w:ascii="Times New Roman" w:hAnsi="Times New Roman" w:cs="Times New Roman"/>
          <w:sz w:val="28"/>
          <w:szCs w:val="28"/>
        </w:rPr>
        <w:t>Ханты-Мансийского района, утвержденного распоряжением администрации Ханты-Мансийского района от 02.11.2017 № 1143-р</w:t>
      </w:r>
      <w:r w:rsidR="00F9395A" w:rsidRPr="002F1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2629" w:rsidRPr="003E0184" w:rsidRDefault="00CF2629" w:rsidP="008D53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FB">
        <w:rPr>
          <w:rFonts w:ascii="Times New Roman" w:hAnsi="Times New Roman" w:cs="Times New Roman"/>
          <w:sz w:val="28"/>
          <w:szCs w:val="28"/>
        </w:rPr>
        <w:t>Объёмы бюджетных</w:t>
      </w:r>
      <w:r w:rsidRPr="002F1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инвестиций в объекты муниципальной собственности согласовываю</w:t>
      </w:r>
      <w:r w:rsidRPr="003E0184">
        <w:rPr>
          <w:rFonts w:ascii="Times New Roman" w:hAnsi="Times New Roman" w:cs="Times New Roman"/>
          <w:color w:val="000000" w:themeColor="text1"/>
          <w:sz w:val="28"/>
          <w:szCs w:val="28"/>
        </w:rPr>
        <w:t>тся с Комитетом экономической политики администрации Ханты-Мансийского района.</w:t>
      </w:r>
    </w:p>
    <w:p w:rsidR="00CF2629" w:rsidRPr="00AE02A1" w:rsidRDefault="00CF2629" w:rsidP="008D5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A1">
        <w:rPr>
          <w:rFonts w:ascii="Times New Roman" w:hAnsi="Times New Roman" w:cs="Times New Roman"/>
          <w:sz w:val="28"/>
          <w:szCs w:val="28"/>
        </w:rPr>
        <w:t>2. Главные распорядители бюджетных средств района, руководствуясь статьёй 158 Бюджетного кодекса Российской Федерации, самостоятельно осуществляют планирование расходов по отрасли               в соответствии с выстраиваемыми приоритетами, составляют обоснования бюджетных ассигнований, обеспечивают результативность и эффективное распределение бюджетных ассигнований по подведомственным получателям бюджетных средств.</w:t>
      </w:r>
    </w:p>
    <w:p w:rsidR="00CF2629" w:rsidRPr="00AE02A1" w:rsidRDefault="00CF2629" w:rsidP="00AE0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2A1">
        <w:rPr>
          <w:rFonts w:ascii="Times New Roman" w:hAnsi="Times New Roman" w:cs="Times New Roman"/>
          <w:sz w:val="28"/>
          <w:szCs w:val="28"/>
        </w:rPr>
        <w:t>При распределении предельных объёмов бюджетных ассигнований на 20</w:t>
      </w:r>
      <w:r w:rsidR="00AE02A1" w:rsidRPr="00AE02A1">
        <w:rPr>
          <w:rFonts w:ascii="Times New Roman" w:hAnsi="Times New Roman" w:cs="Times New Roman"/>
          <w:sz w:val="28"/>
          <w:szCs w:val="28"/>
        </w:rPr>
        <w:t>20</w:t>
      </w:r>
      <w:r w:rsidRPr="00AE02A1">
        <w:rPr>
          <w:rFonts w:ascii="Times New Roman" w:hAnsi="Times New Roman" w:cs="Times New Roman"/>
          <w:sz w:val="28"/>
          <w:szCs w:val="28"/>
        </w:rPr>
        <w:t>-202</w:t>
      </w:r>
      <w:r w:rsidR="00AE02A1" w:rsidRPr="00AE02A1">
        <w:rPr>
          <w:rFonts w:ascii="Times New Roman" w:hAnsi="Times New Roman" w:cs="Times New Roman"/>
          <w:sz w:val="28"/>
          <w:szCs w:val="28"/>
        </w:rPr>
        <w:t>2</w:t>
      </w:r>
      <w:r w:rsidRPr="00AE02A1">
        <w:rPr>
          <w:rFonts w:ascii="Times New Roman" w:hAnsi="Times New Roman" w:cs="Times New Roman"/>
          <w:sz w:val="28"/>
          <w:szCs w:val="28"/>
        </w:rPr>
        <w:t xml:space="preserve"> годы, ответственные исполнители муниципальных программ района, главные распорядители бюджетных средств</w:t>
      </w:r>
      <w:r w:rsidR="00AE02A1" w:rsidRPr="00AE02A1">
        <w:rPr>
          <w:rFonts w:ascii="Times New Roman" w:hAnsi="Times New Roman" w:cs="Times New Roman"/>
          <w:sz w:val="28"/>
          <w:szCs w:val="28"/>
        </w:rPr>
        <w:t xml:space="preserve"> района, в том числе учитывают </w:t>
      </w:r>
      <w:r w:rsidRPr="00AE02A1">
        <w:rPr>
          <w:rFonts w:ascii="Times New Roman" w:hAnsi="Times New Roman" w:cs="Times New Roman"/>
          <w:sz w:val="28"/>
          <w:szCs w:val="28"/>
        </w:rPr>
        <w:t>изменение минимального размера оплаты труда (МРОТ), устанавливаемого федеральным законом от 19 июня 2000 года № 82-ФЗ  «О минимальном размере оплаты труда» (с учётом изменений),                   с применением к нему районного коэффициента и процентной надбавки       к заработной плате за стаж</w:t>
      </w:r>
      <w:proofErr w:type="gramEnd"/>
      <w:r w:rsidRPr="00AE02A1">
        <w:rPr>
          <w:rFonts w:ascii="Times New Roman" w:hAnsi="Times New Roman" w:cs="Times New Roman"/>
          <w:sz w:val="28"/>
          <w:szCs w:val="28"/>
        </w:rPr>
        <w:t xml:space="preserve"> работы в районах Крайнего Севера                     и приравненных к ним местностях (постановление Конституционного Суда Российской Федерации от 7 декабря 2017 года № 38-П).</w:t>
      </w:r>
    </w:p>
    <w:p w:rsidR="00CF2629" w:rsidRPr="00AE02A1" w:rsidRDefault="00CF2629" w:rsidP="008D5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распределении предельных объёмов бюджетных ассигнований на реализацию мероприятий муниципальных программ                       Ханты-Мансийского района, главные распорядители средств бюджета, ответственные исполнители муниципальных программ района обеспечивают:</w:t>
      </w:r>
    </w:p>
    <w:p w:rsidR="00CF2629" w:rsidRPr="00AE02A1" w:rsidRDefault="00CF2629" w:rsidP="008D53A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02A1">
        <w:rPr>
          <w:rFonts w:ascii="Times New Roman" w:hAnsi="Times New Roman" w:cs="Times New Roman"/>
          <w:sz w:val="28"/>
          <w:szCs w:val="28"/>
        </w:rPr>
        <w:t xml:space="preserve">полное финансовое обеспечение (100%) в местном бюджете расходных обязательств по кодам классификации операций сектора государственного управления (включая бюджетные и автономные учреждения): 223 «Коммунальные услуги», </w:t>
      </w:r>
      <w:r w:rsidRPr="00AE02A1">
        <w:rPr>
          <w:rFonts w:ascii="Times New Roman" w:hAnsi="Times New Roman" w:cs="Times New Roman"/>
          <w:bCs/>
          <w:sz w:val="28"/>
          <w:szCs w:val="28"/>
        </w:rPr>
        <w:t xml:space="preserve">226 «Прочие работы, услуги» в </w:t>
      </w:r>
      <w:r w:rsidRPr="00AE02A1">
        <w:rPr>
          <w:rFonts w:ascii="Times New Roman" w:hAnsi="Times New Roman" w:cs="Times New Roman"/>
          <w:bCs/>
          <w:sz w:val="28"/>
          <w:szCs w:val="28"/>
        </w:rPr>
        <w:lastRenderedPageBreak/>
        <w:t>части расходов на оплату услуг по организации питания,</w:t>
      </w:r>
      <w:r w:rsidRPr="00AE02A1">
        <w:rPr>
          <w:rFonts w:ascii="Times New Roman" w:hAnsi="Times New Roman" w:cs="Times New Roman"/>
          <w:sz w:val="28"/>
          <w:szCs w:val="28"/>
        </w:rPr>
        <w:t xml:space="preserve"> </w:t>
      </w:r>
      <w:r w:rsidR="00AE02A1" w:rsidRPr="00AE02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E02A1">
        <w:rPr>
          <w:rFonts w:ascii="Times New Roman" w:hAnsi="Times New Roman" w:cs="Times New Roman"/>
          <w:sz w:val="28"/>
          <w:szCs w:val="28"/>
        </w:rPr>
        <w:t xml:space="preserve">  </w:t>
      </w:r>
      <w:r w:rsidRPr="00AE02A1">
        <w:rPr>
          <w:rFonts w:ascii="Times New Roman" w:eastAsia="Calibri" w:hAnsi="Times New Roman" w:cs="Times New Roman"/>
          <w:bCs/>
          <w:sz w:val="28"/>
          <w:szCs w:val="28"/>
        </w:rPr>
        <w:t>342 «Увеличение стоимости продуктов питания»</w:t>
      </w:r>
    </w:p>
    <w:p w:rsidR="00CF2629" w:rsidRPr="00AE02A1" w:rsidRDefault="00CF2629" w:rsidP="001558C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предельных объёмов бюджетных ассигнований на 20</w:t>
      </w:r>
      <w:r w:rsidR="00AE02A1" w:rsidRPr="00AE02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E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E02A1" w:rsidRPr="00AE02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E02A1" w:rsidRPr="00AE02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рамках формируемых муниципальных программ в соответствии с постановлением администрации Ханты-Мансийского района </w:t>
      </w:r>
      <w:r w:rsidR="001558C4" w:rsidRPr="00AE0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07.09.2018 № 246 </w:t>
      </w:r>
      <w:r w:rsidR="00AE02A1" w:rsidRPr="00AE0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1558C4" w:rsidRPr="00AE02A1">
        <w:rPr>
          <w:rFonts w:ascii="Times New Roman" w:hAnsi="Times New Roman" w:cs="Times New Roman"/>
          <w:sz w:val="28"/>
          <w:szCs w:val="28"/>
          <w:shd w:val="clear" w:color="auto" w:fill="FFFFFF"/>
        </w:rPr>
        <w:t>"О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реализации"</w:t>
      </w:r>
      <w:r w:rsidR="00AE0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58C4" w:rsidRPr="00AE02A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E0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изменениями </w:t>
      </w:r>
      <w:r w:rsidR="001558C4" w:rsidRPr="00AE02A1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AE0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58C4" w:rsidRPr="00AE02A1">
        <w:rPr>
          <w:rFonts w:ascii="Times New Roman" w:hAnsi="Times New Roman" w:cs="Times New Roman"/>
          <w:sz w:val="28"/>
          <w:szCs w:val="28"/>
          <w:shd w:val="clear" w:color="auto" w:fill="FFFFFF"/>
        </w:rPr>
        <w:t>26.02.2019 № 66)</w:t>
      </w:r>
      <w:r w:rsidR="00AE02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расходов, обусловленных текущим содержанием</w:t>
      </w:r>
      <w:proofErr w:type="gramEnd"/>
      <w:r w:rsidRPr="00AE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функционированием Думы Ханты-Мансийского района и Контрольно-счетной палаты Ханты-Мансийского района;</w:t>
      </w:r>
    </w:p>
    <w:p w:rsidR="00392C6D" w:rsidRPr="002F18FB" w:rsidRDefault="00CF2629" w:rsidP="00AC52B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приоритетов, в том числе обозначенных в указе Президента Российской Федерации от 7 мая 2018 года № 204 «О </w:t>
      </w:r>
      <w:r w:rsidRPr="002F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целях и стратегических задачах развития Российской Федерации на период до 2024 года» с учётом задач, мероприятий, механизма и сроков реализации </w:t>
      </w:r>
      <w:proofErr w:type="gramStart"/>
      <w:r w:rsidRPr="002F1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F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национальных проектов.</w:t>
      </w:r>
    </w:p>
    <w:p w:rsidR="00A408E6" w:rsidRPr="002F18FB" w:rsidRDefault="00AC52BF" w:rsidP="00A4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распределении предельных объёмов бюджетных ассигнований главные распорядители бюджетных средств, ответственные исполнители муниципальных программ предусматривают обеспечение реализации мероприятий, направленных на улучшение </w:t>
      </w:r>
      <w:r w:rsidR="00A408E6" w:rsidRPr="002F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показателей, используемых для оценки эффективности деятельности органов </w:t>
      </w:r>
      <w:r w:rsidR="00A408E6" w:rsidRPr="002F18FB">
        <w:rPr>
          <w:rFonts w:ascii="Times New Roman" w:hAnsi="Times New Roman" w:cs="Times New Roman"/>
          <w:sz w:val="28"/>
          <w:szCs w:val="28"/>
        </w:rPr>
        <w:t xml:space="preserve">местного самоуправления, перечень которых утверждён </w:t>
      </w:r>
      <w:r w:rsidR="00A408E6" w:rsidRPr="002F18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08E6" w:rsidRPr="002F18FB">
        <w:rPr>
          <w:rFonts w:ascii="Times New Roman" w:hAnsi="Times New Roman" w:cs="Times New Roman"/>
          <w:sz w:val="28"/>
          <w:szCs w:val="28"/>
        </w:rPr>
        <w:t>аспоряжением Правительства Ханты-Мансийского автономного округа – Югры от 15.03.2013 № 92-рп</w:t>
      </w:r>
      <w:r w:rsidR="00A408E6" w:rsidRPr="002F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8E6" w:rsidRPr="002F18FB">
        <w:rPr>
          <w:rFonts w:ascii="Times New Roman" w:hAnsi="Times New Roman" w:cs="Times New Roman"/>
          <w:sz w:val="28"/>
          <w:szCs w:val="28"/>
        </w:rPr>
        <w:t>(ред. от 30.11.2018)</w:t>
      </w:r>
      <w:r w:rsidR="00A408E6" w:rsidRPr="002F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08E6" w:rsidRPr="002F18FB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 Ханты-Мансийского автономного</w:t>
      </w:r>
      <w:proofErr w:type="gramEnd"/>
      <w:r w:rsidR="00A408E6" w:rsidRPr="002F18FB">
        <w:rPr>
          <w:rFonts w:ascii="Times New Roman" w:hAnsi="Times New Roman" w:cs="Times New Roman"/>
          <w:sz w:val="28"/>
          <w:szCs w:val="28"/>
        </w:rPr>
        <w:t xml:space="preserve"> округа – Югры».</w:t>
      </w:r>
    </w:p>
    <w:p w:rsidR="00CF2629" w:rsidRPr="004835B5" w:rsidRDefault="00CF2629" w:rsidP="0024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1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Планирование и распределение предельных объёмов бюджетных ассигнований по кодам бюджетной классификации Российской Федерации </w:t>
      </w:r>
      <w:r w:rsidR="00C8289C" w:rsidRPr="002F1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C8289C"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</w:t>
      </w:r>
      <w:r w:rsidR="002422BE"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вии с</w:t>
      </w:r>
      <w:r w:rsidR="001558C4"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1C7A" w:rsidRPr="002422BE">
        <w:rPr>
          <w:rFonts w:ascii="Times New Roman" w:hAnsi="Times New Roman" w:cs="Times New Roman"/>
          <w:color w:val="000000" w:themeColor="text1"/>
          <w:sz w:val="28"/>
          <w:szCs w:val="28"/>
        </w:rPr>
        <w:t>приказами Министерства финансов Российской Федерации от 8 июня 2018 года № 132н «О Порядке формирования и применения кодов бюджетной классификации Российской Федерации, их структуре и принципах назначения» (с изменениями на 25.06</w:t>
      </w:r>
      <w:r w:rsidR="002422BE" w:rsidRPr="002422BE">
        <w:rPr>
          <w:rFonts w:ascii="Times New Roman" w:hAnsi="Times New Roman" w:cs="Times New Roman"/>
          <w:color w:val="000000" w:themeColor="text1"/>
          <w:sz w:val="28"/>
          <w:szCs w:val="28"/>
        </w:rPr>
        <w:t>.2019)</w:t>
      </w:r>
      <w:r w:rsidR="00483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приказ Минфина России № 132н)</w:t>
      </w:r>
      <w:r w:rsidR="002422BE" w:rsidRPr="0024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 ноября 2017 года № 209н «Об утверждении</w:t>
      </w:r>
      <w:proofErr w:type="gramEnd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 </w:t>
      </w:r>
      <w:proofErr w:type="gramStart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применении</w:t>
      </w:r>
      <w:proofErr w:type="gramEnd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классификации операций </w:t>
      </w:r>
      <w:r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 государственного управления»</w:t>
      </w:r>
      <w:r w:rsidR="00841C7A"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1C7A" w:rsidRPr="004835B5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 на 13.05.2019)</w:t>
      </w:r>
      <w:r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2629" w:rsidRPr="004835B5" w:rsidRDefault="00CF2629" w:rsidP="008D53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4835B5"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связи с постоянной актуализацией бюджетной классификации Российской Федерации, в </w:t>
      </w:r>
      <w:r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ходе формирования </w:t>
      </w:r>
      <w:r w:rsidR="004835B5"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Ханты-Мансийского района на 20</w:t>
      </w:r>
      <w:r w:rsidR="004835B5"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4835B5"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="004835B5"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Минфином России могут </w:t>
      </w:r>
      <w:r w:rsidR="004835B5"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вноситься изменения в приказ Минфина России № 132н, доводиться </w:t>
      </w:r>
      <w:r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таблицы соответствия по кодам классификации расходов бюджетов, которые также </w:t>
      </w:r>
      <w:r w:rsidR="004835B5"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</w:t>
      </w:r>
      <w:r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учитывать</w:t>
      </w:r>
      <w:r w:rsidR="004835B5" w:rsidRPr="00483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при распределении бюджетных ассигнований.</w:t>
      </w:r>
    </w:p>
    <w:p w:rsidR="00CF2629" w:rsidRPr="00CF7CBA" w:rsidRDefault="00CF2629" w:rsidP="008D5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7CBA">
        <w:rPr>
          <w:rFonts w:ascii="Times New Roman" w:hAnsi="Times New Roman" w:cs="Times New Roman"/>
          <w:sz w:val="28"/>
          <w:szCs w:val="28"/>
        </w:rPr>
        <w:t>Расчет объема финансового обеспечения выполнения муниципального задания муниципальными учреждениями осуществляется в соответствии с постановлением администрации Ханты-Мансийского района от 21.12.2017 года №373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            на основании показателей муниципального задания и нормативных затрат на оказание муниципальных услуг, нормативных затрат, связанных             с выполнением</w:t>
      </w:r>
      <w:proofErr w:type="gramEnd"/>
      <w:r w:rsidRPr="00CF7CBA">
        <w:rPr>
          <w:rFonts w:ascii="Times New Roman" w:hAnsi="Times New Roman" w:cs="Times New Roman"/>
          <w:sz w:val="28"/>
          <w:szCs w:val="28"/>
        </w:rPr>
        <w:t xml:space="preserve"> работ, с учетом затрат на содержание недвижимого имущества и особо ценного движимого имущества, а также на уплату налогов, в качестве объекта налогообложения по которым признается указанное имущество. При этом объем финансового обеспечения выполнения муниципального задания подлежит уменьшению на объем </w:t>
      </w:r>
      <w:proofErr w:type="gramStart"/>
      <w:r w:rsidRPr="00CF7CBA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Pr="00CF7CBA">
        <w:rPr>
          <w:rFonts w:ascii="Times New Roman" w:hAnsi="Times New Roman" w:cs="Times New Roman"/>
          <w:sz w:val="28"/>
          <w:szCs w:val="28"/>
        </w:rPr>
        <w:t xml:space="preserve"> от платной деятельности исходя из объема муниципальной услуги, за оказание которой предусматривается взимание платы,                 и среднего значения размера платы (цены, тарифа), установленного            в муниципальном задании.</w:t>
      </w:r>
    </w:p>
    <w:p w:rsidR="00CF2629" w:rsidRPr="00CF7CBA" w:rsidRDefault="00CF2629" w:rsidP="008D5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BA">
        <w:rPr>
          <w:rFonts w:ascii="Times New Roman" w:hAnsi="Times New Roman" w:cs="Times New Roman"/>
          <w:sz w:val="28"/>
          <w:szCs w:val="28"/>
        </w:rPr>
        <w:t>В случае если бюджетное или автономное учреждение оказывает муниципальные услуги (выполняет работы) для физических                         и юридических лиц за плату сверх установленного муниципального задания, то при определении затрат на уплату налогов, в качестве объекта налогообложения по которым признается имущество учреждения, применяется коэффициент платной деятельности.</w:t>
      </w:r>
    </w:p>
    <w:p w:rsidR="00CF2629" w:rsidRDefault="00CF2629" w:rsidP="008D5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CBA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формируются в соответствии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 перечнем (классификатором) государственных (муниципальных) услуг,                    не включенных в общероссийские базовые (отраслевые) перечни (классификаторы) государственных и муниципальных услуг, оказание        </w:t>
      </w:r>
      <w:r w:rsidRPr="00CF7CBA">
        <w:rPr>
          <w:rFonts w:ascii="Times New Roman" w:hAnsi="Times New Roman" w:cs="Times New Roman"/>
          <w:sz w:val="28"/>
          <w:szCs w:val="28"/>
        </w:rPr>
        <w:lastRenderedPageBreak/>
        <w:t>и выполнение которых предусмотрено муниципальными правовыми актами.</w:t>
      </w:r>
      <w:proofErr w:type="gramEnd"/>
    </w:p>
    <w:p w:rsidR="00CF7CBA" w:rsidRPr="00CF7CBA" w:rsidRDefault="00CF7CBA" w:rsidP="00D444A7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CBA">
        <w:rPr>
          <w:rFonts w:ascii="Times New Roman" w:hAnsi="Times New Roman" w:cs="Times New Roman"/>
          <w:sz w:val="28"/>
          <w:szCs w:val="28"/>
        </w:rPr>
        <w:t>Формирование, ведение и утверждение регионального перечня государственных (муниципальных) услуг и работ осуществляется в порядке, установленном постановлением Правительства автономного округа от 1 декабря 2017 года № 473-п «О порядке формирования, ведения и утверждения регионального перечня (классификатора) государственных (муниципальных) услуг,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 учреждениями Ханты-Мансийского автономного округа – Югры</w:t>
      </w:r>
      <w:proofErr w:type="gramEnd"/>
      <w:r w:rsidRPr="00CF7CBA">
        <w:rPr>
          <w:rFonts w:ascii="Times New Roman" w:hAnsi="Times New Roman" w:cs="Times New Roman"/>
          <w:sz w:val="28"/>
          <w:szCs w:val="28"/>
        </w:rPr>
        <w:t xml:space="preserve">, и признании </w:t>
      </w:r>
      <w:proofErr w:type="gramStart"/>
      <w:r w:rsidRPr="00CF7CB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F7CBA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Ханты-Мансийского автономного округа – Югры».</w:t>
      </w:r>
    </w:p>
    <w:p w:rsidR="00CF7CBA" w:rsidRPr="00CF7CBA" w:rsidRDefault="00CF7CBA" w:rsidP="00D444A7">
      <w:pPr>
        <w:spacing w:after="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7CBA">
        <w:rPr>
          <w:rFonts w:ascii="Times New Roman" w:hAnsi="Times New Roman" w:cs="Times New Roman"/>
          <w:sz w:val="28"/>
          <w:szCs w:val="28"/>
        </w:rPr>
        <w:t>В соответствии с приказом Департамента финансов автономного округа от 28 декабря 2018 года № 189-о «О порядке формирования (изменения), ведения реестровых записей при формировании, ведении и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 и структуре уникального номера</w:t>
      </w:r>
      <w:proofErr w:type="gramEnd"/>
      <w:r w:rsidRPr="00CF7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CBA">
        <w:rPr>
          <w:rFonts w:ascii="Times New Roman" w:hAnsi="Times New Roman" w:cs="Times New Roman"/>
          <w:sz w:val="28"/>
          <w:szCs w:val="28"/>
        </w:rPr>
        <w:t>реестровой записи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Югры», формирование (изменение), ведение и утверждение Регионального перечня (классификатора) государственных (муниципальных) услуг и работ, осуществляется в информационной системе «Региональный электронный бюджет.</w:t>
      </w:r>
      <w:proofErr w:type="gramEnd"/>
      <w:r w:rsidRPr="00CF7CBA">
        <w:rPr>
          <w:rFonts w:ascii="Times New Roman" w:hAnsi="Times New Roman" w:cs="Times New Roman"/>
          <w:sz w:val="28"/>
          <w:szCs w:val="28"/>
        </w:rPr>
        <w:t xml:space="preserve"> Бюджетное планирование» (ПК «</w:t>
      </w:r>
      <w:proofErr w:type="spellStart"/>
      <w:r w:rsidRPr="00CF7CB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F7CBA">
        <w:rPr>
          <w:rFonts w:ascii="Times New Roman" w:hAnsi="Times New Roman" w:cs="Times New Roman"/>
          <w:sz w:val="28"/>
          <w:szCs w:val="28"/>
        </w:rPr>
        <w:t>-Планирование») в программном модуле «Перечни услуг (работ)». Доступ к программному модулю «Перечни услуг (работ)» предоставлен комитету по финансам администрации Ханты-Мансийского района.</w:t>
      </w:r>
    </w:p>
    <w:p w:rsidR="00CF2629" w:rsidRDefault="00CF2629" w:rsidP="00D444A7">
      <w:pPr>
        <w:spacing w:after="0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54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Ханты-Мансийского района при планировании расходов на выполнение муниципального </w:t>
      </w:r>
      <w:r w:rsidRPr="00202854">
        <w:rPr>
          <w:rFonts w:ascii="Times New Roman" w:hAnsi="Times New Roman" w:cs="Times New Roman"/>
          <w:sz w:val="28"/>
          <w:szCs w:val="28"/>
        </w:rPr>
        <w:lastRenderedPageBreak/>
        <w:t xml:space="preserve">задания обеспечивают объективный подход к формированию нормативных и иных затрат (сопоставляя и анализируя </w:t>
      </w:r>
      <w:r w:rsidR="00202854" w:rsidRPr="00202854">
        <w:rPr>
          <w:rFonts w:ascii="Times New Roman" w:hAnsi="Times New Roman" w:cs="Times New Roman"/>
          <w:sz w:val="28"/>
          <w:szCs w:val="28"/>
        </w:rPr>
        <w:t>отчётные</w:t>
      </w:r>
      <w:r w:rsidRPr="00202854">
        <w:rPr>
          <w:rFonts w:ascii="Times New Roman" w:hAnsi="Times New Roman" w:cs="Times New Roman"/>
          <w:sz w:val="28"/>
          <w:szCs w:val="28"/>
        </w:rPr>
        <w:t xml:space="preserve"> год</w:t>
      </w:r>
      <w:r w:rsidR="00202854" w:rsidRPr="00202854">
        <w:rPr>
          <w:rFonts w:ascii="Times New Roman" w:hAnsi="Times New Roman" w:cs="Times New Roman"/>
          <w:sz w:val="28"/>
          <w:szCs w:val="28"/>
        </w:rPr>
        <w:t>ы</w:t>
      </w:r>
      <w:r w:rsidRPr="00202854">
        <w:rPr>
          <w:rFonts w:ascii="Times New Roman" w:hAnsi="Times New Roman" w:cs="Times New Roman"/>
          <w:sz w:val="28"/>
          <w:szCs w:val="28"/>
        </w:rPr>
        <w:t>), обеспечивают оптимизацию и повышение эффективности расходов направляемых на оказание услуг (выполнение работ).</w:t>
      </w:r>
    </w:p>
    <w:p w:rsidR="001D2DCA" w:rsidRPr="001D2DCA" w:rsidRDefault="001D2DCA" w:rsidP="00D44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CA">
        <w:rPr>
          <w:rFonts w:ascii="Times New Roman" w:hAnsi="Times New Roman" w:cs="Times New Roman"/>
          <w:sz w:val="28"/>
          <w:szCs w:val="28"/>
        </w:rPr>
        <w:t xml:space="preserve">Формирование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D2DCA">
        <w:rPr>
          <w:rFonts w:ascii="Times New Roman" w:hAnsi="Times New Roman" w:cs="Times New Roman"/>
          <w:sz w:val="28"/>
          <w:szCs w:val="28"/>
        </w:rPr>
        <w:t xml:space="preserve"> задания на очередной финансовый год и плановый период должно осуществляться главным распорядителем бюджетных средств с учетом привлечения к оказанию услуг в соответствующей сфере негосударственных организаций.</w:t>
      </w:r>
    </w:p>
    <w:p w:rsidR="00CF2629" w:rsidRPr="001D2DCA" w:rsidRDefault="00CF2629" w:rsidP="001D2DCA">
      <w:pPr>
        <w:spacing w:after="0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DCA">
        <w:rPr>
          <w:rFonts w:ascii="Times New Roman" w:hAnsi="Times New Roman" w:cs="Times New Roman"/>
          <w:sz w:val="28"/>
          <w:szCs w:val="28"/>
        </w:rPr>
        <w:t>Муниципальное задание муниципальному учреждению должно быть сокращено (уменьшено) в случае передачи оказания общественно значимых услуг в негосударственный сектор (СОНКО).</w:t>
      </w:r>
    </w:p>
    <w:p w:rsidR="001D2DCA" w:rsidRPr="004073BD" w:rsidRDefault="001D2DCA" w:rsidP="001D2DCA">
      <w:pPr>
        <w:spacing w:after="0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DCA">
        <w:rPr>
          <w:rFonts w:ascii="Times New Roman" w:hAnsi="Times New Roman" w:cs="Times New Roman"/>
          <w:sz w:val="28"/>
          <w:szCs w:val="28"/>
        </w:rPr>
        <w:t xml:space="preserve">Не допускается неполное финансовое обеспечение муниципального задания при доведении его до бюджетного и автономного учреждения      на </w:t>
      </w:r>
      <w:r w:rsidRPr="004073BD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CF2629" w:rsidRPr="004073BD" w:rsidRDefault="00CF2629" w:rsidP="008D53A2">
      <w:pPr>
        <w:spacing w:after="0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BD">
        <w:rPr>
          <w:rFonts w:ascii="Times New Roman" w:hAnsi="Times New Roman" w:cs="Times New Roman"/>
          <w:sz w:val="28"/>
          <w:szCs w:val="28"/>
        </w:rPr>
        <w:t>В случае сокращения объёма муниципального задания (услуг, работ), в установленном порядке обеспечивается проведение процедуры сокращения штатной численности муниципального учреждения, задействованной в оказании услуг (выполнении работ), с соблюдением требований трудового законодательства, а также должен быть решён вопрос дальнейшего эффективного использования муниципального имущества.</w:t>
      </w:r>
    </w:p>
    <w:p w:rsidR="00CF2629" w:rsidRPr="004073BD" w:rsidRDefault="00CF2629" w:rsidP="008D5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3BD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предоставление субсидий «На</w:t>
      </w:r>
      <w:r w:rsidRPr="00407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3BD">
        <w:rPr>
          <w:rFonts w:ascii="Times New Roman" w:hAnsi="Times New Roman" w:cs="Times New Roman"/>
          <w:sz w:val="28"/>
          <w:szCs w:val="28"/>
        </w:rPr>
        <w:t>иные цели» бюджетным и автономным учреждениям</w:t>
      </w:r>
      <w:r w:rsidRPr="004073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73B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определения объема и условий предоставления субсидий их бюджета Ханты-Мансийского района бюджетным и автономным учреждениям Ханты-Мансийского района        на иные цели в соответствии Постановлением администрации            Ханты-Мансийского района от 15.03.2012 года №49 (с изм. </w:t>
      </w:r>
      <w:r w:rsidRPr="004073BD">
        <w:rPr>
          <w:rFonts w:ascii="Times New Roman" w:eastAsia="Calibri" w:hAnsi="Times New Roman" w:cs="Times New Roman"/>
          <w:sz w:val="28"/>
          <w:szCs w:val="28"/>
        </w:rPr>
        <w:t>от 06.11.2014 № 317)</w:t>
      </w:r>
      <w:r w:rsidRPr="004073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2629" w:rsidRPr="004073BD" w:rsidRDefault="00CF2629" w:rsidP="008D5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3BD">
        <w:rPr>
          <w:rFonts w:ascii="Times New Roman" w:hAnsi="Times New Roman" w:cs="Times New Roman"/>
          <w:sz w:val="28"/>
          <w:szCs w:val="28"/>
        </w:rPr>
        <w:t>При планировании объема бюджетных ассигнований                         на предоставление субсидий бюджетным и автономным учреждениям      на иные цели, расходы, включаемые в расчет объема указанных субсидий не должны носить постоянный характер, планирование которых в составе нормативных затрат на оказание муниципальных услуг (работ) в рамках муниципального задания может привести к искажению реальной стоимости данных услуг (работ).</w:t>
      </w:r>
      <w:proofErr w:type="gramEnd"/>
    </w:p>
    <w:p w:rsidR="00CF2629" w:rsidRPr="004073BD" w:rsidRDefault="00CF2629" w:rsidP="008D5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субсидии определяется в соответствии с перечнем мероприятий, утверждаемым администрацией Ханты-Мансийского района </w:t>
      </w:r>
      <w:r w:rsidRPr="00407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учредитель), муниципальным правовым актом                       Ханты-Мансийского района, устанавливающим соответствующее расходное обязательство.</w:t>
      </w:r>
    </w:p>
    <w:p w:rsidR="00CF2629" w:rsidRPr="004073BD" w:rsidRDefault="00CF2629" w:rsidP="008D53A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073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Перечень мероприятий, утверждаемый учредителем, подлежит согласованию с комитетом по финансам администрации                  Ханты-Мансийского района.</w:t>
      </w:r>
    </w:p>
    <w:p w:rsidR="00CF2629" w:rsidRPr="00D97A19" w:rsidRDefault="00CF2629" w:rsidP="008D53A2">
      <w:pPr>
        <w:spacing w:after="0"/>
        <w:ind w:right="5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Реализация бюджетной политики в </w:t>
      </w:r>
      <w:r w:rsidR="00D97A19" w:rsidRPr="00D9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D9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расходов требует </w:t>
      </w:r>
      <w:r w:rsidR="00D97A19" w:rsidRPr="00D9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главных распорядителей бюджетных средств </w:t>
      </w:r>
      <w:r w:rsidRPr="00D9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выстраивания приоритетов, </w:t>
      </w:r>
      <w:r w:rsidR="00D97A19" w:rsidRPr="00D9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</w:t>
      </w:r>
      <w:r w:rsidRPr="00D9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</w:t>
      </w:r>
      <w:r w:rsidR="00D97A19" w:rsidRPr="00D9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</w:t>
      </w:r>
      <w:r w:rsidRPr="00D9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 имеющихся ресурсов.</w:t>
      </w:r>
    </w:p>
    <w:p w:rsidR="00CF2629" w:rsidRPr="000C1CD4" w:rsidRDefault="00CF2629" w:rsidP="008D53A2">
      <w:pPr>
        <w:spacing w:after="0"/>
        <w:ind w:right="5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распределении предельных объёмов бюджетных ассигнований на 20</w:t>
      </w:r>
      <w:r w:rsidR="00D97A19" w:rsidRPr="000C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20-2022</w:t>
      </w:r>
      <w:r w:rsidRPr="000C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D97A19" w:rsidRPr="000C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C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ответственные исполнители муниципальных программ, главные распорядители бюджетных средств Ханты-Мансийского района</w:t>
      </w:r>
      <w:r w:rsidR="000C1CD4" w:rsidRPr="000C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</w:t>
      </w:r>
      <w:r w:rsidR="000C1CD4" w:rsidRPr="000C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тственные </w:t>
      </w:r>
      <w:r w:rsidRPr="000C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реализацию бюджетной политики в установленной сфере деятельности</w:t>
      </w:r>
      <w:r w:rsidR="000C1CD4" w:rsidRPr="000C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обеспечивают:</w:t>
      </w:r>
    </w:p>
    <w:p w:rsidR="00CF2629" w:rsidRPr="000C1CD4" w:rsidRDefault="00CF2629" w:rsidP="008D53A2">
      <w:pPr>
        <w:numPr>
          <w:ilvl w:val="0"/>
          <w:numId w:val="1"/>
        </w:numPr>
        <w:spacing w:after="0"/>
        <w:ind w:left="0" w:right="5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D4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качественное бюджетное планирование;</w:t>
      </w:r>
    </w:p>
    <w:p w:rsidR="00CF2629" w:rsidRPr="000C1CD4" w:rsidRDefault="00CF2629" w:rsidP="008D53A2">
      <w:pPr>
        <w:numPr>
          <w:ilvl w:val="0"/>
          <w:numId w:val="1"/>
        </w:numPr>
        <w:spacing w:after="0"/>
        <w:ind w:left="0" w:right="5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D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распределение бюджетных ресурсов                     в соответствии с обозначенными приоритетами;</w:t>
      </w:r>
    </w:p>
    <w:p w:rsidR="00CF2629" w:rsidRPr="00BD7523" w:rsidRDefault="00CF2629" w:rsidP="008D53A2">
      <w:pPr>
        <w:numPr>
          <w:ilvl w:val="0"/>
          <w:numId w:val="1"/>
        </w:numPr>
        <w:spacing w:after="0"/>
        <w:ind w:left="0" w:right="5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установленных настоящими методическими указаниями требований </w:t>
      </w:r>
      <w:r w:rsidRPr="00BD7523">
        <w:rPr>
          <w:rFonts w:ascii="Times New Roman" w:hAnsi="Times New Roman" w:cs="Times New Roman"/>
          <w:color w:val="000000" w:themeColor="text1"/>
          <w:sz w:val="28"/>
          <w:szCs w:val="28"/>
        </w:rPr>
        <w:t>и подходов к формированию бюджетных проектировок;</w:t>
      </w:r>
    </w:p>
    <w:p w:rsidR="00CF2629" w:rsidRDefault="00CF2629" w:rsidP="008D53A2">
      <w:pPr>
        <w:numPr>
          <w:ilvl w:val="0"/>
          <w:numId w:val="1"/>
        </w:numPr>
        <w:spacing w:after="0"/>
        <w:ind w:left="0" w:right="5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финансовое обеспечение и безусловное выполнение социально-значимых обязательств (включая обязательства </w:t>
      </w:r>
      <w:r w:rsidR="00BD7523" w:rsidRPr="00BD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уплате законодательно установленных налогов, сборов и платежей, </w:t>
      </w:r>
      <w:r w:rsidRPr="00BD7523">
        <w:rPr>
          <w:rFonts w:ascii="Times New Roman" w:hAnsi="Times New Roman" w:cs="Times New Roman"/>
          <w:color w:val="000000" w:themeColor="text1"/>
          <w:sz w:val="28"/>
          <w:szCs w:val="28"/>
        </w:rPr>
        <w:t>оплаты коммунальных услуг и расходов, связанных с содержанием и обслуживанием муниципального имущества).</w:t>
      </w:r>
    </w:p>
    <w:p w:rsidR="00BD7523" w:rsidRPr="00BD7523" w:rsidRDefault="00BD7523" w:rsidP="00BD7523">
      <w:pPr>
        <w:spacing w:after="0"/>
        <w:ind w:right="5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расходные обязательства должны соответствовать установленным федеральным законодательством за муниципальным уровнем полномочиям в соответствующей сфере.</w:t>
      </w:r>
    </w:p>
    <w:p w:rsidR="001F300C" w:rsidRPr="00D00A54" w:rsidRDefault="00CF2629" w:rsidP="008D53A2">
      <w:pPr>
        <w:spacing w:after="0"/>
        <w:ind w:right="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0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исполнители муниципальных программ района, главные распорядители бюджетных средств </w:t>
      </w:r>
      <w:r w:rsidR="001F300C" w:rsidRPr="00D00A54">
        <w:rPr>
          <w:rFonts w:ascii="Times New Roman" w:hAnsi="Times New Roman" w:cs="Times New Roman"/>
          <w:color w:val="000000" w:themeColor="text1"/>
          <w:sz w:val="28"/>
          <w:szCs w:val="28"/>
        </w:rPr>
        <w:t>обязаны принимать меры, направленные на повышение эффективности бюджетных расходов, в том числе через повышение эффективности расходов на муниципальное управление, расходов на содержание бюджетной сети, а также расходов, связанных с предоставлением субсидий и иных мер поддержки негосударственных организаций, хозяйствующих субъектов, инвестиционных расходов и расходов на предоставление межбюджетных трансфертов.</w:t>
      </w:r>
      <w:proofErr w:type="gramEnd"/>
    </w:p>
    <w:p w:rsidR="00CF2629" w:rsidRPr="00266E80" w:rsidRDefault="00CF2629" w:rsidP="008D53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Главные распорядители бюджетных сре</w:t>
      </w:r>
      <w:proofErr w:type="gramStart"/>
      <w:r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предельных объемов бюджетных ассигнований на 20</w:t>
      </w:r>
      <w:r w:rsidR="00266E80"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66E80"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обеспечивают взаимодействие с получателями бюджетных средств в целях качественного, объективного и своевременного распределения бюджетных</w:t>
      </w:r>
      <w:r w:rsidR="00266E80"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</w:t>
      </w:r>
      <w:r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бюджетного законодательства.</w:t>
      </w:r>
    </w:p>
    <w:p w:rsidR="00CF2629" w:rsidRPr="00266E80" w:rsidRDefault="00CF2629" w:rsidP="008D5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 района представляют     в комитет по финансам администрации Ханты-Мансийского района распределение доведённых предельных объёмов бюджетных ассигнований по действующим расходным обязательствам, предложения по изменению действующих и исполнению принимаемых расходных обязательств           на 20</w:t>
      </w:r>
      <w:r w:rsidR="00266E80"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66E80"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6E80"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(включая публичные нормативные обязательства) в соответствии с формами, утвержденными Приказом комитета по финансам </w:t>
      </w:r>
      <w:r w:rsidRPr="0026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Ханты-Мансийского района от 15</w:t>
      </w:r>
      <w:proofErr w:type="gramEnd"/>
      <w:r w:rsidRPr="0026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2018 года № 01-09/111 </w:t>
      </w:r>
      <w:r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26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планирования бюджетных ассигнований бюджета района</w:t>
      </w:r>
      <w:proofErr w:type="gramEnd"/>
      <w:r w:rsidRPr="0026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266E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2629" w:rsidRPr="00266E80" w:rsidRDefault="00CF2629" w:rsidP="00CF2629">
      <w:pPr>
        <w:spacing w:after="0" w:line="360" w:lineRule="auto"/>
        <w:rPr>
          <w:rFonts w:ascii="Times New Roman" w:hAnsi="Times New Roman"/>
        </w:rPr>
      </w:pPr>
    </w:p>
    <w:sectPr w:rsidR="00CF2629" w:rsidRPr="00266E80" w:rsidSect="00CF2629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40" w:rsidRDefault="005C1740" w:rsidP="00617B40">
      <w:pPr>
        <w:spacing w:after="0" w:line="240" w:lineRule="auto"/>
      </w:pPr>
      <w:r>
        <w:separator/>
      </w:r>
    </w:p>
  </w:endnote>
  <w:endnote w:type="continuationSeparator" w:id="0">
    <w:p w:rsidR="005C1740" w:rsidRDefault="005C174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40" w:rsidRDefault="005C1740" w:rsidP="00617B40">
      <w:pPr>
        <w:spacing w:after="0" w:line="240" w:lineRule="auto"/>
      </w:pPr>
      <w:r>
        <w:separator/>
      </w:r>
    </w:p>
  </w:footnote>
  <w:footnote w:type="continuationSeparator" w:id="0">
    <w:p w:rsidR="005C1740" w:rsidRDefault="005C174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3955"/>
    <w:multiLevelType w:val="hybridMultilevel"/>
    <w:tmpl w:val="06DEDE9C"/>
    <w:lvl w:ilvl="0" w:tplc="D5D86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B302A"/>
    <w:multiLevelType w:val="hybridMultilevel"/>
    <w:tmpl w:val="3B78E052"/>
    <w:lvl w:ilvl="0" w:tplc="51F470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874E232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129B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C83D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8EB"/>
    <w:rsid w:val="00012153"/>
    <w:rsid w:val="0003018C"/>
    <w:rsid w:val="00032C9D"/>
    <w:rsid w:val="00050751"/>
    <w:rsid w:val="000553F6"/>
    <w:rsid w:val="00062D61"/>
    <w:rsid w:val="00075EF5"/>
    <w:rsid w:val="000946EB"/>
    <w:rsid w:val="0009485B"/>
    <w:rsid w:val="00094C89"/>
    <w:rsid w:val="000A20DE"/>
    <w:rsid w:val="000B30E4"/>
    <w:rsid w:val="000B4C48"/>
    <w:rsid w:val="000B6BD3"/>
    <w:rsid w:val="000C1CD4"/>
    <w:rsid w:val="000D7141"/>
    <w:rsid w:val="000E2AD9"/>
    <w:rsid w:val="000F242D"/>
    <w:rsid w:val="000F66D4"/>
    <w:rsid w:val="00113D3B"/>
    <w:rsid w:val="00150967"/>
    <w:rsid w:val="001558C4"/>
    <w:rsid w:val="00167936"/>
    <w:rsid w:val="00182B80"/>
    <w:rsid w:val="001847D2"/>
    <w:rsid w:val="00184B30"/>
    <w:rsid w:val="0018600B"/>
    <w:rsid w:val="00186A59"/>
    <w:rsid w:val="001C5C3F"/>
    <w:rsid w:val="001D2DCA"/>
    <w:rsid w:val="001F300C"/>
    <w:rsid w:val="00202854"/>
    <w:rsid w:val="00225C7D"/>
    <w:rsid w:val="002300FD"/>
    <w:rsid w:val="00234040"/>
    <w:rsid w:val="002422BE"/>
    <w:rsid w:val="002529F0"/>
    <w:rsid w:val="00261D49"/>
    <w:rsid w:val="00266E80"/>
    <w:rsid w:val="00280CD4"/>
    <w:rsid w:val="00297A80"/>
    <w:rsid w:val="002A75A0"/>
    <w:rsid w:val="002D0994"/>
    <w:rsid w:val="002E4BE3"/>
    <w:rsid w:val="002F18FB"/>
    <w:rsid w:val="00301280"/>
    <w:rsid w:val="003251E6"/>
    <w:rsid w:val="003330F0"/>
    <w:rsid w:val="00343BF0"/>
    <w:rsid w:val="00343FF5"/>
    <w:rsid w:val="003624D8"/>
    <w:rsid w:val="00392C6D"/>
    <w:rsid w:val="00393DAD"/>
    <w:rsid w:val="00397EFC"/>
    <w:rsid w:val="003E0184"/>
    <w:rsid w:val="003F2416"/>
    <w:rsid w:val="003F3603"/>
    <w:rsid w:val="00404BE7"/>
    <w:rsid w:val="004073BD"/>
    <w:rsid w:val="004154C5"/>
    <w:rsid w:val="00417101"/>
    <w:rsid w:val="00422070"/>
    <w:rsid w:val="00431272"/>
    <w:rsid w:val="004333EE"/>
    <w:rsid w:val="0044500A"/>
    <w:rsid w:val="00465FC6"/>
    <w:rsid w:val="004835B5"/>
    <w:rsid w:val="004861EE"/>
    <w:rsid w:val="0048741B"/>
    <w:rsid w:val="00493879"/>
    <w:rsid w:val="004B28BF"/>
    <w:rsid w:val="004C069C"/>
    <w:rsid w:val="004C7125"/>
    <w:rsid w:val="004F72DA"/>
    <w:rsid w:val="004F7CDE"/>
    <w:rsid w:val="00532C99"/>
    <w:rsid w:val="00532CA8"/>
    <w:rsid w:val="005439BD"/>
    <w:rsid w:val="0056694C"/>
    <w:rsid w:val="00572453"/>
    <w:rsid w:val="005A66B0"/>
    <w:rsid w:val="005B2935"/>
    <w:rsid w:val="005B7083"/>
    <w:rsid w:val="005C1740"/>
    <w:rsid w:val="005F0864"/>
    <w:rsid w:val="00617B14"/>
    <w:rsid w:val="00617B40"/>
    <w:rsid w:val="0062166C"/>
    <w:rsid w:val="00623C81"/>
    <w:rsid w:val="00624276"/>
    <w:rsid w:val="0062437F"/>
    <w:rsid w:val="00626321"/>
    <w:rsid w:val="0063694B"/>
    <w:rsid w:val="00636F28"/>
    <w:rsid w:val="00651A3C"/>
    <w:rsid w:val="00655734"/>
    <w:rsid w:val="0066142C"/>
    <w:rsid w:val="006615CF"/>
    <w:rsid w:val="006722F9"/>
    <w:rsid w:val="00681141"/>
    <w:rsid w:val="006A5B30"/>
    <w:rsid w:val="006B1282"/>
    <w:rsid w:val="006C37AF"/>
    <w:rsid w:val="006C6EC8"/>
    <w:rsid w:val="006C77B8"/>
    <w:rsid w:val="006D05DB"/>
    <w:rsid w:val="006D18AE"/>
    <w:rsid w:val="006D495B"/>
    <w:rsid w:val="00707DE2"/>
    <w:rsid w:val="007343BF"/>
    <w:rsid w:val="0077481C"/>
    <w:rsid w:val="007959A6"/>
    <w:rsid w:val="007A0722"/>
    <w:rsid w:val="007C5828"/>
    <w:rsid w:val="00805A4C"/>
    <w:rsid w:val="00810501"/>
    <w:rsid w:val="00822F9D"/>
    <w:rsid w:val="008250A4"/>
    <w:rsid w:val="00827A88"/>
    <w:rsid w:val="00841C7A"/>
    <w:rsid w:val="008459BB"/>
    <w:rsid w:val="00886731"/>
    <w:rsid w:val="00887852"/>
    <w:rsid w:val="00892F31"/>
    <w:rsid w:val="00897CB6"/>
    <w:rsid w:val="008C2ACB"/>
    <w:rsid w:val="008D50E0"/>
    <w:rsid w:val="008D53A2"/>
    <w:rsid w:val="008D6252"/>
    <w:rsid w:val="008D6B49"/>
    <w:rsid w:val="008E4601"/>
    <w:rsid w:val="00903CF1"/>
    <w:rsid w:val="00927695"/>
    <w:rsid w:val="00933810"/>
    <w:rsid w:val="0096287F"/>
    <w:rsid w:val="0096338B"/>
    <w:rsid w:val="009917AB"/>
    <w:rsid w:val="009917B5"/>
    <w:rsid w:val="009A231B"/>
    <w:rsid w:val="009C0855"/>
    <w:rsid w:val="009C1751"/>
    <w:rsid w:val="009F6EC2"/>
    <w:rsid w:val="00A066FA"/>
    <w:rsid w:val="00A14960"/>
    <w:rsid w:val="00A33D50"/>
    <w:rsid w:val="00A37435"/>
    <w:rsid w:val="00A408E6"/>
    <w:rsid w:val="00A6251B"/>
    <w:rsid w:val="00AC16A7"/>
    <w:rsid w:val="00AC194A"/>
    <w:rsid w:val="00AC52BF"/>
    <w:rsid w:val="00AD697A"/>
    <w:rsid w:val="00AE02A1"/>
    <w:rsid w:val="00AF2A28"/>
    <w:rsid w:val="00B1491C"/>
    <w:rsid w:val="00B17E67"/>
    <w:rsid w:val="00B2079F"/>
    <w:rsid w:val="00B2259C"/>
    <w:rsid w:val="00B230DD"/>
    <w:rsid w:val="00B45F61"/>
    <w:rsid w:val="00B53A62"/>
    <w:rsid w:val="00B540A3"/>
    <w:rsid w:val="00B626AF"/>
    <w:rsid w:val="00B711F7"/>
    <w:rsid w:val="00B76CD1"/>
    <w:rsid w:val="00B81A2D"/>
    <w:rsid w:val="00BA6BB3"/>
    <w:rsid w:val="00BA737A"/>
    <w:rsid w:val="00BB611F"/>
    <w:rsid w:val="00BB6639"/>
    <w:rsid w:val="00BC65CB"/>
    <w:rsid w:val="00BD7523"/>
    <w:rsid w:val="00BE2AF4"/>
    <w:rsid w:val="00BF262A"/>
    <w:rsid w:val="00C002B4"/>
    <w:rsid w:val="00C16253"/>
    <w:rsid w:val="00C21D1F"/>
    <w:rsid w:val="00C239F1"/>
    <w:rsid w:val="00C24796"/>
    <w:rsid w:val="00C36F0C"/>
    <w:rsid w:val="00C36F5A"/>
    <w:rsid w:val="00C51F70"/>
    <w:rsid w:val="00C7412C"/>
    <w:rsid w:val="00C8289C"/>
    <w:rsid w:val="00CA7141"/>
    <w:rsid w:val="00CC7C2A"/>
    <w:rsid w:val="00CD76E9"/>
    <w:rsid w:val="00CF2629"/>
    <w:rsid w:val="00CF3794"/>
    <w:rsid w:val="00CF44D0"/>
    <w:rsid w:val="00CF744D"/>
    <w:rsid w:val="00CF7CBA"/>
    <w:rsid w:val="00D007DF"/>
    <w:rsid w:val="00D00A54"/>
    <w:rsid w:val="00D155CC"/>
    <w:rsid w:val="00D20948"/>
    <w:rsid w:val="00D213D8"/>
    <w:rsid w:val="00D22D6D"/>
    <w:rsid w:val="00D26095"/>
    <w:rsid w:val="00D444A7"/>
    <w:rsid w:val="00D4701F"/>
    <w:rsid w:val="00D53054"/>
    <w:rsid w:val="00D64FB3"/>
    <w:rsid w:val="00D8061E"/>
    <w:rsid w:val="00D95FC8"/>
    <w:rsid w:val="00D97A19"/>
    <w:rsid w:val="00DB032D"/>
    <w:rsid w:val="00DE12FA"/>
    <w:rsid w:val="00DF4A70"/>
    <w:rsid w:val="00E020E1"/>
    <w:rsid w:val="00E024DC"/>
    <w:rsid w:val="00E05238"/>
    <w:rsid w:val="00E05262"/>
    <w:rsid w:val="00E26486"/>
    <w:rsid w:val="00E35131"/>
    <w:rsid w:val="00E516F7"/>
    <w:rsid w:val="00E624C3"/>
    <w:rsid w:val="00EA41FF"/>
    <w:rsid w:val="00ED01A2"/>
    <w:rsid w:val="00ED123C"/>
    <w:rsid w:val="00EF214F"/>
    <w:rsid w:val="00EF2E7D"/>
    <w:rsid w:val="00F114E8"/>
    <w:rsid w:val="00F155DA"/>
    <w:rsid w:val="00F254DD"/>
    <w:rsid w:val="00F262C9"/>
    <w:rsid w:val="00F449DF"/>
    <w:rsid w:val="00F55E37"/>
    <w:rsid w:val="00F765C7"/>
    <w:rsid w:val="00F77BE1"/>
    <w:rsid w:val="00F9395A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A6251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6251B"/>
  </w:style>
  <w:style w:type="paragraph" w:styleId="2">
    <w:name w:val="Body Text Indent 2"/>
    <w:basedOn w:val="a"/>
    <w:link w:val="20"/>
    <w:uiPriority w:val="99"/>
    <w:semiHidden/>
    <w:unhideWhenUsed/>
    <w:rsid w:val="00CF26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2629"/>
  </w:style>
  <w:style w:type="character" w:styleId="af">
    <w:name w:val="Hyperlink"/>
    <w:basedOn w:val="a0"/>
    <w:uiPriority w:val="99"/>
    <w:semiHidden/>
    <w:unhideWhenUsed/>
    <w:rsid w:val="001558C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63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A6251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6251B"/>
  </w:style>
  <w:style w:type="paragraph" w:styleId="2">
    <w:name w:val="Body Text Indent 2"/>
    <w:basedOn w:val="a"/>
    <w:link w:val="20"/>
    <w:uiPriority w:val="99"/>
    <w:semiHidden/>
    <w:unhideWhenUsed/>
    <w:rsid w:val="00CF26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2629"/>
  </w:style>
  <w:style w:type="character" w:styleId="af">
    <w:name w:val="Hyperlink"/>
    <w:basedOn w:val="a0"/>
    <w:uiPriority w:val="99"/>
    <w:semiHidden/>
    <w:unhideWhenUsed/>
    <w:rsid w:val="001558C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63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pfin.admhmao.ru/informatsiya-o-normotvorcheskoy-deyatelnosti/2791747/proekt-o-normativakh-na-platu-truda-v-organakh-mestnogo-samoupravl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5AAA-39D5-4D28-9A92-8769BEEE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2019-07-16T06:22:00Z</dcterms:created>
  <dcterms:modified xsi:type="dcterms:W3CDTF">2019-08-05T04:49:00Z</dcterms:modified>
</cp:coreProperties>
</file>